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W w:w="5000" w:type="pct"/>
        <w:jc w:val="left"/>
        <w:tblInd w:w="28" w:type="dxa"/>
        <w:tblCellMar>
          <w:top w:w="0" w:type="dxa"/>
          <w:left w:w="28" w:type="dxa"/>
          <w:bottom w:w="0" w:type="dxa"/>
          <w:right w:w="28" w:type="dxa"/>
        </w:tblCellMar>
      </w:tblPr>
      <w:tblGrid>
        <w:gridCol w:w="2903"/>
        <w:gridCol w:w="2034"/>
        <w:gridCol w:w="4985"/>
      </w:tblGrid>
      <w:tr>
        <w:trPr>
          <w:trHeight w:val="283" w:hRule="atLeast"/>
        </w:trPr>
        <w:tc>
          <w:tcPr>
            <w:tcW w:w="2903" w:type="dxa"/>
            <w:tcBorders/>
          </w:tcPr>
          <w:p>
            <w:pPr>
              <w:pStyle w:val="TableContents"/>
              <w:pageBreakBefore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</w:r>
          </w:p>
        </w:tc>
        <w:tc>
          <w:tcPr>
            <w:tcW w:w="2034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left="350" w:right="0" w:hanging="0"/>
              <w:jc w:val="center"/>
              <w:textAlignment w:val="baseline"/>
              <w:rPr>
                <w:rFonts w:ascii="Liberation Serif" w:hAnsi="Liberation Serif" w:eastAsia="Andale Sans UI" w:cs="Times New Roman"/>
                <w:color w:val="FFFFFF"/>
                <w:kern w:val="2"/>
                <w:sz w:val="28"/>
                <w:szCs w:val="28"/>
                <w:highlight w:val="white"/>
                <w:lang w:val="de-DE" w:eastAsia="ja-JP" w:bidi="fa-IR"/>
              </w:rPr>
            </w:pPr>
            <w:r>
              <w:rPr>
                <w:rFonts w:eastAsia="Andale Sans UI" w:cs="Times New Roman"/>
                <w:color w:val="FFFFFF"/>
                <w:kern w:val="2"/>
                <w:sz w:val="28"/>
                <w:szCs w:val="28"/>
                <w:highlight w:val="white"/>
                <w:lang w:val="de-DE" w:eastAsia="ja-JP" w:bidi="fa-IR"/>
              </w:rPr>
            </w:r>
          </w:p>
        </w:tc>
        <w:tc>
          <w:tcPr>
            <w:tcW w:w="4985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 административному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регламенту предоставления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муниципальной услуги «Включение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мест под размещение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нестационарных торговых объектов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 схему размещения нестационарных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торговых объектов на территории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муниципального образования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Московской области на основании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предложений физических,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юридических лиц, индивидуальных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предпринимателей и уведомление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 проведении аукциона»,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утвержденному постановлением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Администрации закрытого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административно-территориального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образования городской округ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Молодёжный Московской области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 w:eastAsia="Calibri"/>
                <w:b w:val="false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  <w:t>$orderNum$</w:t>
            </w:r>
          </w:p>
        </w:tc>
      </w:tr>
    </w:tbl>
    <w:p>
      <w:pPr>
        <w:pStyle w:val="Normal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Style9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/>
      </w:pPr>
      <w:bookmarkStart w:id="0" w:name="_Toc91253271"/>
      <w:r>
        <w:rPr>
          <w:rStyle w:val="2"/>
          <w:b w:val="false"/>
          <w:sz w:val="28"/>
          <w:szCs w:val="28"/>
          <w:lang w:val="ru-RU" w:eastAsia="en-US" w:bidi="ar-SA"/>
        </w:rPr>
        <w:t>Форма</w:t>
      </w:r>
    </w:p>
    <w:p>
      <w:pPr>
        <w:pStyle w:val="Style9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/>
      </w:pPr>
      <w:bookmarkStart w:id="1" w:name="_Toc91253271"/>
      <w:r>
        <w:rPr>
          <w:rStyle w:val="2"/>
          <w:b w:val="false"/>
          <w:sz w:val="28"/>
          <w:szCs w:val="28"/>
          <w:lang w:val="ru-RU" w:eastAsia="en-US" w:bidi="ar-SA"/>
        </w:rPr>
        <w:t xml:space="preserve">решения об отказе в предоставлении </w:t>
      </w:r>
      <w:bookmarkEnd w:id="1"/>
      <w:r>
        <w:rPr>
          <w:rStyle w:val="2"/>
          <w:b w:val="false"/>
          <w:sz w:val="28"/>
          <w:szCs w:val="28"/>
          <w:lang w:val="ru-RU" w:eastAsia="en-US" w:bidi="ar-SA"/>
        </w:rPr>
        <w:t>муниципальной услуги</w:t>
      </w:r>
    </w:p>
    <w:p>
      <w:pPr>
        <w:pStyle w:val="Style9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>«Включение мест под размещение нестационарных торговых объектов в схему размещения нестационарных торговых объектов на территории муниципального образования Московской области на основании предложений физических, юридических лиц, индивидуальных предпринимателей и уведомление о проведении аукциона»</w:t>
      </w:r>
    </w:p>
    <w:p>
      <w:pPr>
        <w:sectPr>
          <w:type w:val="nextPage"/>
          <w:pgSz w:w="11906" w:h="16838"/>
          <w:pgMar w:left="1134" w:right="850" w:header="0" w:top="1134" w:footer="0" w:bottom="1134" w:gutter="0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/>
        <w:ind w:left="0" w:right="0" w:hanging="0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 xml:space="preserve">(оформляется на официальном бланке </w:t>
      </w:r>
      <w:r>
        <w:rPr>
          <w:rStyle w:val="2"/>
          <w:b w:val="false"/>
          <w:sz w:val="28"/>
          <w:szCs w:val="28"/>
          <w:lang w:val="ru-RU" w:eastAsia="en-US" w:bidi="ar-SA"/>
        </w:rPr>
        <w:t>Администрации</w:t>
      </w:r>
      <w:r>
        <w:rPr>
          <w:rStyle w:val="2"/>
          <w:b w:val="false"/>
          <w:sz w:val="28"/>
          <w:szCs w:val="28"/>
          <w:lang w:val="ru-RU" w:eastAsia="en-US" w:bidi="ar-SA"/>
        </w:rPr>
        <w:t>)</w:t>
      </w:r>
    </w:p>
    <w:p>
      <w:pPr>
        <w:sectPr>
          <w:type w:val="continuous"/>
          <w:pgSz w:w="11906" w:h="16838"/>
          <w:pgMar w:left="1134" w:right="850" w:header="0" w:top="1134" w:footer="0" w:bottom="1134" w:gutter="0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 w:val="false"/>
          <w:i w:val="false"/>
          <w:iCs w:val="false"/>
          <w:sz w:val="28"/>
          <w:szCs w:val="28"/>
          <w:lang w:eastAsia="ru-RU"/>
        </w:rPr>
      </w:pPr>
      <w:r>
        <w:rPr>
          <w:rFonts w:ascii="Times New Roman" w:hAnsi="Times New Roman"/>
          <w:i w:val="false"/>
          <w:iCs w:val="false"/>
          <w:sz w:val="28"/>
          <w:szCs w:val="28"/>
          <w:lang w:eastAsia="ru-RU"/>
        </w:rPr>
      </w: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 w:val="false"/>
          <w:i w:val="false"/>
          <w:iCs w:val="false"/>
          <w:sz w:val="28"/>
          <w:szCs w:val="28"/>
          <w:lang w:eastAsia="ru-RU"/>
        </w:rPr>
      </w:pPr>
      <w:r>
        <w:rPr>
          <w:rFonts w:ascii="Times New Roman" w:hAnsi="Times New Roman"/>
          <w:i w:val="false"/>
          <w:iCs w:val="false"/>
          <w:sz w:val="28"/>
          <w:szCs w:val="28"/>
          <w:lang w:eastAsia="ru-RU"/>
        </w:rPr>
        <w:t>Кому: _____</w:t>
      </w:r>
      <w:r>
        <w:rPr>
          <w:rFonts w:ascii="Times New Roman" w:hAnsi="Times New Roman"/>
          <w:i w:val="false"/>
          <w:iCs w:val="false"/>
          <w:sz w:val="28"/>
          <w:szCs w:val="28"/>
          <w:lang w:eastAsia="ru-RU"/>
        </w:rPr>
        <w:t>____________________</w:t>
      </w:r>
    </w:p>
    <w:p>
      <w:pPr>
        <w:sectPr>
          <w:type w:val="continuous"/>
          <w:pgSz w:w="11906" w:h="16838"/>
          <w:pgMar w:left="1134" w:right="850" w:header="0" w:top="1134" w:footer="0" w:bottom="1134" w:gutter="0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 w:val="false"/>
          <w:i w:val="false"/>
          <w:iCs w:val="false"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val="en-US" w:eastAsia="ru-RU"/>
        </w:rPr>
        <w:t>(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ФИО (последнее при наличии) </w:t>
      </w: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физического лица, индивидуального </w:t>
      </w: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предпринимателя или полное</w:t>
      </w: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наименование юридического лица</w:t>
      </w:r>
      <w:r>
        <w:rPr>
          <w:rFonts w:ascii="Times New Roman" w:hAnsi="Times New Roman"/>
          <w:i/>
          <w:iCs/>
          <w:sz w:val="28"/>
          <w:szCs w:val="28"/>
          <w:lang w:val="en-US" w:eastAsia="ru-RU"/>
        </w:rPr>
        <w:t>)</w:t>
      </w:r>
    </w:p>
    <w:p>
      <w:pPr>
        <w:sectPr>
          <w:type w:val="continuous"/>
          <w:pgSz w:w="11906" w:h="16838"/>
          <w:pgMar w:left="1134" w:right="850" w:header="0" w:top="1134" w:footer="0" w:bottom="1134" w:gutter="0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b w:val="false"/>
          <w:b w:val="false"/>
          <w:sz w:val="28"/>
          <w:szCs w:val="28"/>
          <w:lang w:val="ru-RU" w:eastAsia="en-US" w:bidi="ar-SA"/>
        </w:rPr>
      </w:pPr>
      <w:r>
        <w:rPr>
          <w:b w:val="false"/>
          <w:sz w:val="28"/>
          <w:szCs w:val="28"/>
          <w:lang w:val="ru-RU" w:eastAsia="en-US" w:bidi="ar-SA"/>
        </w:rPr>
      </w:r>
    </w:p>
    <w:p>
      <w:pPr>
        <w:pStyle w:val="Style9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/>
      </w:pPr>
      <w:r>
        <w:rPr>
          <w:rStyle w:val="2"/>
          <w:b w:val="false"/>
          <w:sz w:val="28"/>
          <w:szCs w:val="28"/>
        </w:rPr>
        <w:t xml:space="preserve">Решение </w:t>
      </w:r>
      <w:r>
        <w:rPr>
          <w:rStyle w:val="2"/>
          <w:b w:val="false"/>
          <w:sz w:val="28"/>
          <w:szCs w:val="28"/>
        </w:rPr>
        <w:t>об отказе в предоставлении муниципальной услуги</w:t>
      </w:r>
    </w:p>
    <w:p>
      <w:pPr>
        <w:pStyle w:val="Style9"/>
        <w:bidi w:val="0"/>
        <w:spacing w:lineRule="auto" w:line="276"/>
        <w:ind w:left="0" w:right="0" w:hanging="0"/>
        <w:jc w:val="center"/>
        <w:rPr/>
      </w:pPr>
      <w:r>
        <w:rPr>
          <w:rStyle w:val="2"/>
          <w:b w:val="false"/>
          <w:sz w:val="28"/>
          <w:szCs w:val="28"/>
        </w:rPr>
        <w:t>«Включение мест под размещение нестационарных торговых объектов в схему размещения нестационарных торговых объектов на территории муниципального образования Московской области на основании предложений физических, юридических лиц, индивидуальных предпринимателей и уведомление о проведении аукциона»</w:t>
      </w:r>
    </w:p>
    <w:p>
      <w:pPr>
        <w:pStyle w:val="Style9"/>
        <w:bidi w:val="0"/>
        <w:spacing w:lineRule="auto" w:line="276"/>
        <w:ind w:left="0" w:right="0" w:hanging="0"/>
        <w:jc w:val="center"/>
        <w:rPr>
          <w:rStyle w:val="2"/>
        </w:rPr>
      </w:pPr>
      <w:r>
        <w:rPr/>
      </w:r>
    </w:p>
    <w:p>
      <w:pPr>
        <w:sectPr>
          <w:type w:val="continuous"/>
          <w:pgSz w:w="11906" w:h="16838"/>
          <w:pgMar w:left="1134" w:right="850" w:header="0" w:top="1134" w:footer="0" w:bottom="1134" w:gutter="0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/>
        <w:ind w:left="0" w:right="0" w:firstLine="709"/>
        <w:jc w:val="both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 xml:space="preserve">В соответствии с ____ 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(указать наименование и состав реквизитов нормативного правового акта Российской Федерации, Московской области, в том числе административного регламента (далее – 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Регламент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) на основании которого принято данное решение) </w:t>
      </w:r>
      <w:r>
        <w:rPr>
          <w:rStyle w:val="2"/>
          <w:b w:val="false"/>
          <w:bCs/>
          <w:i w:val="false"/>
          <w:iCs w:val="false"/>
          <w:sz w:val="28"/>
          <w:szCs w:val="28"/>
          <w:lang w:val="en-US" w:eastAsia="en-US" w:bidi="ar-SA"/>
        </w:rPr>
        <w:t>Администрация закрытого административно-территориального образования городской округ Молодёжный Московской области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 </w:t>
      </w:r>
      <w:r>
        <w:rPr>
          <w:rStyle w:val="2"/>
          <w:b w:val="false"/>
          <w:bCs/>
          <w:i w:val="false"/>
          <w:iCs w:val="false"/>
          <w:sz w:val="28"/>
          <w:szCs w:val="28"/>
          <w:lang w:val="ru-RU" w:eastAsia="en-US" w:bidi="ar-SA"/>
        </w:rPr>
        <w:t>(далее – Администрация)</w:t>
      </w:r>
      <w:r>
        <w:rPr>
          <w:rStyle w:val="2"/>
          <w:b/>
          <w:sz w:val="28"/>
          <w:szCs w:val="28"/>
          <w:lang w:val="ru-RU" w:eastAsia="en-US" w:bidi="ar-SA"/>
        </w:rPr>
        <w:t xml:space="preserve"> 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рассмотрела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 запрос о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предоставлении муниципальной услуги </w:t>
      </w:r>
      <w:r>
        <w:rPr>
          <w:rStyle w:val="2"/>
          <w:b w:val="false"/>
          <w:bCs/>
          <w:i w:val="false"/>
          <w:iCs w:val="false"/>
          <w:sz w:val="28"/>
          <w:szCs w:val="28"/>
          <w:lang w:val="ru-RU" w:eastAsia="en-US" w:bidi="ar-SA"/>
        </w:rPr>
        <w:t>«Включение мест под размещение нестационарных торговых объектов в схему размещения нестационарных торговых объектов на территории муниципального образования Московской области на основании предложений физических, юридических лиц, индивидуальных предпринимателей и уведомление о проведении аукциона»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 №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rFonts w:eastAsia="Times New Roman" w:cs="Times New Roman"/>
          <w:b w:val="false"/>
          <w:color w:val="000000"/>
          <w:sz w:val="28"/>
          <w:szCs w:val="28"/>
          <w:lang w:val="ru-RU" w:eastAsia="ru-RU" w:bidi="ar-SA"/>
        </w:rPr>
        <w:t>______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 (</w:t>
      </w:r>
      <w:r>
        <w:rPr>
          <w:rStyle w:val="2"/>
          <w:b w:val="false"/>
          <w:i/>
          <w:sz w:val="28"/>
          <w:szCs w:val="28"/>
          <w:lang w:val="ru-RU" w:eastAsia="en-US" w:bidi="ar-SA"/>
        </w:rPr>
        <w:t>указать регистрационный номер</w:t>
      </w:r>
      <w:r>
        <w:rPr>
          <w:rStyle w:val="2"/>
          <w:b w:val="false"/>
          <w:i/>
          <w:sz w:val="28"/>
          <w:szCs w:val="28"/>
          <w:lang w:val="ru-RU" w:eastAsia="en-US" w:bidi="ar-SA"/>
        </w:rPr>
        <w:t xml:space="preserve"> </w:t>
      </w:r>
      <w:r>
        <w:rPr>
          <w:rStyle w:val="2"/>
          <w:b w:val="false"/>
          <w:i/>
          <w:sz w:val="28"/>
          <w:szCs w:val="28"/>
          <w:lang w:val="ru-RU" w:eastAsia="en-US" w:bidi="ar-SA"/>
        </w:rPr>
        <w:t>запроса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) 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(далее соответственно – запрос, муниципальная услуга)</w:t>
      </w:r>
      <w:r>
        <w:rPr>
          <w:rStyle w:val="2"/>
          <w:b/>
          <w:sz w:val="28"/>
          <w:szCs w:val="28"/>
          <w:lang w:val="ru-RU" w:eastAsia="en-US" w:bidi="ar-SA"/>
        </w:rPr>
        <w:t xml:space="preserve"> </w:t>
      </w:r>
      <w:r>
        <w:rPr>
          <w:rStyle w:val="2"/>
          <w:b w:val="false"/>
          <w:sz w:val="28"/>
          <w:szCs w:val="28"/>
          <w:lang w:val="ru-RU" w:eastAsia="en-US" w:bidi="ar-SA"/>
        </w:rPr>
        <w:t>и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приняла </w:t>
      </w:r>
      <w:r>
        <w:rPr>
          <w:rStyle w:val="2"/>
          <w:b w:val="false"/>
          <w:sz w:val="28"/>
          <w:szCs w:val="28"/>
          <w:lang w:val="ru-RU" w:eastAsia="en-US" w:bidi="ar-SA"/>
        </w:rPr>
        <w:t>решение об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sz w:val="28"/>
          <w:szCs w:val="28"/>
          <w:lang w:val="ru-RU" w:eastAsia="en-US" w:bidi="ar-SA"/>
        </w:rPr>
        <w:t>отказе в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sz w:val="28"/>
          <w:szCs w:val="28"/>
          <w:lang w:val="ru-RU" w:eastAsia="en-US" w:bidi="ar-SA"/>
        </w:rPr>
        <w:t>предоставлении муниципальной услуги по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sz w:val="28"/>
          <w:szCs w:val="28"/>
          <w:lang w:val="ru-RU" w:eastAsia="en-US" w:bidi="ar-SA"/>
        </w:rPr>
        <w:t>следующему основанию:</w:t>
      </w:r>
    </w:p>
    <w:p>
      <w:pPr>
        <w:sectPr>
          <w:type w:val="continuous"/>
          <w:pgSz w:w="11906" w:h="16838"/>
          <w:pgMar w:left="1134" w:right="850" w:header="0" w:top="1134" w:footer="0" w:bottom="1134" w:gutter="0"/>
          <w:formProt w:val="false"/>
          <w:textDirection w:val="lrTb"/>
          <w:docGrid w:type="default" w:linePitch="312" w:charSpace="4294961151"/>
        </w:sectPr>
      </w:pPr>
    </w:p>
    <w:tbl>
      <w:tblPr>
        <w:tblW w:w="9917" w:type="dxa"/>
        <w:jc w:val="left"/>
        <w:tblInd w:w="118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54"/>
        <w:gridCol w:w="3232"/>
        <w:gridCol w:w="3231"/>
      </w:tblGrid>
      <w:tr>
        <w:trPr/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Ссылка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на соответствующий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п</w:t>
            </w:r>
            <w:r>
              <w:rPr>
                <w:rStyle w:val="2"/>
                <w:b w:val="false"/>
                <w:sz w:val="28"/>
                <w:szCs w:val="28"/>
              </w:rPr>
              <w:t>одп</w:t>
            </w:r>
            <w:r>
              <w:rPr>
                <w:rStyle w:val="2"/>
                <w:b w:val="false"/>
                <w:sz w:val="28"/>
                <w:szCs w:val="28"/>
              </w:rPr>
              <w:t xml:space="preserve">ункт </w:t>
            </w:r>
            <w:r>
              <w:rPr>
                <w:rStyle w:val="2"/>
                <w:b w:val="false"/>
                <w:sz w:val="28"/>
                <w:szCs w:val="28"/>
                <w:lang w:val="ru-RU"/>
              </w:rPr>
              <w:t>под</w:t>
            </w:r>
            <w:r>
              <w:rPr>
                <w:rStyle w:val="2"/>
                <w:b w:val="false"/>
                <w:sz w:val="28"/>
                <w:szCs w:val="28"/>
              </w:rPr>
              <w:t>раздела 19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jc w:val="center"/>
              <w:rPr/>
            </w:pPr>
            <w:r>
              <w:rPr>
                <w:rStyle w:val="2"/>
                <w:b w:val="false"/>
                <w:bCs w:val="false"/>
                <w:sz w:val="28"/>
                <w:szCs w:val="28"/>
              </w:rPr>
              <w:t>Регламента</w:t>
            </w:r>
            <w:r>
              <w:rPr>
                <w:rStyle w:val="2"/>
                <w:b w:val="false"/>
                <w:bCs w:val="false"/>
                <w:sz w:val="28"/>
                <w:szCs w:val="28"/>
              </w:rPr>
              <w:t>, в котором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jc w:val="center"/>
              <w:rPr/>
            </w:pPr>
            <w:r>
              <w:rPr>
                <w:rStyle w:val="2"/>
                <w:b w:val="false"/>
                <w:bCs w:val="false"/>
                <w:sz w:val="28"/>
                <w:szCs w:val="28"/>
              </w:rPr>
              <w:t>содержится основание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jc w:val="center"/>
              <w:rPr/>
            </w:pPr>
            <w:r>
              <w:rPr>
                <w:rStyle w:val="2"/>
                <w:b w:val="false"/>
                <w:bCs w:val="false"/>
                <w:sz w:val="28"/>
                <w:szCs w:val="28"/>
              </w:rPr>
              <w:t>для отказа</w:t>
              <w:br/>
              <w:t>в предоставлении 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jc w:val="center"/>
              <w:rPr/>
            </w:pPr>
            <w:r>
              <w:rPr>
                <w:rStyle w:val="2"/>
                <w:b w:val="false"/>
                <w:sz w:val="28"/>
                <w:szCs w:val="28"/>
              </w:rPr>
              <w:t xml:space="preserve">Наименование </w:t>
              <w:br/>
              <w:t xml:space="preserve">основания для отказа </w:t>
              <w:br/>
              <w:t>в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предоставлении муниципальной услуги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jc w:val="center"/>
              <w:rPr/>
            </w:pPr>
            <w:r>
              <w:rPr>
                <w:rStyle w:val="2"/>
                <w:b w:val="false"/>
                <w:sz w:val="28"/>
                <w:szCs w:val="28"/>
              </w:rPr>
              <w:t xml:space="preserve">Разъяснение причины </w:t>
              <w:br/>
              <w:t xml:space="preserve">принятия решения </w:t>
              <w:br/>
              <w:t>об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отказе в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предоставлении муниципальной услуги</w:t>
            </w:r>
          </w:p>
        </w:tc>
      </w:tr>
      <w:tr>
        <w:trPr/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bidi w:val="0"/>
              <w:spacing w:lineRule="auto" w:line="276" w:before="0" w:after="0"/>
              <w:ind w:left="0" w:right="0" w:firstLine="709"/>
              <w:jc w:val="both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bidi w:val="0"/>
              <w:spacing w:lineRule="auto" w:line="276" w:before="0" w:after="0"/>
              <w:ind w:left="0" w:right="0" w:firstLine="709"/>
              <w:jc w:val="both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bidi w:val="0"/>
              <w:spacing w:lineRule="auto" w:line="276" w:before="0" w:after="0"/>
              <w:ind w:left="0" w:right="0" w:firstLine="709"/>
              <w:jc w:val="both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</w:tr>
    </w:tbl>
    <w:p>
      <w:pPr>
        <w:sectPr>
          <w:type w:val="continuous"/>
          <w:pgSz w:w="11906" w:h="16838"/>
          <w:pgMar w:left="1134" w:right="850" w:header="0" w:top="1134" w:footer="0" w:bottom="1134" w:gutter="0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 w:before="0" w:after="0"/>
        <w:ind w:left="0" w:right="0" w:firstLine="709"/>
        <w:jc w:val="both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  <w:t>Вы вправе повторно обратиться в Администрацию с</w:t>
      </w:r>
      <w:r>
        <w:rPr>
          <w:b w:val="false"/>
          <w:sz w:val="28"/>
          <w:szCs w:val="28"/>
        </w:rPr>
        <w:t> </w:t>
      </w:r>
      <w:r>
        <w:rPr>
          <w:b w:val="false"/>
          <w:sz w:val="28"/>
          <w:szCs w:val="28"/>
        </w:rPr>
        <w:t>запросом после устранения указанного основания для отказа в предоставлении муниципальной услуги.</w:t>
      </w:r>
    </w:p>
    <w:p>
      <w:pPr>
        <w:sectPr>
          <w:type w:val="continuous"/>
          <w:pgSz w:w="11906" w:h="16838"/>
          <w:pgMar w:left="1134" w:right="850" w:header="0" w:top="1134" w:footer="0" w:bottom="1134" w:gutter="0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 w:val="false"/>
          <w:bCs w:val="false"/>
          <w:sz w:val="28"/>
          <w:szCs w:val="28"/>
        </w:rPr>
        <w:t xml:space="preserve">Настоящее решение об отказе в предоставлении муниципальной услуги может быть обжаловано в досудебном (внесудебном) порядке путем направления жалобы в соответствии с разделом </w:t>
      </w:r>
      <w:r>
        <w:rPr>
          <w:b w:val="false"/>
          <w:bCs w:val="false"/>
          <w:sz w:val="28"/>
          <w:szCs w:val="28"/>
          <w:lang w:val="en-US"/>
        </w:rPr>
        <w:t>V</w:t>
      </w:r>
      <w:r>
        <w:rPr>
          <w:b w:val="false"/>
          <w:bCs w:val="false"/>
          <w:sz w:val="28"/>
          <w:szCs w:val="28"/>
        </w:rPr>
        <w:t xml:space="preserve"> «Досудебный (внесудебный) порядок обжалования решений и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</w:rPr>
        <w:t xml:space="preserve">действий (бездействия) </w:t>
      </w:r>
      <w:r>
        <w:rPr>
          <w:b w:val="false"/>
          <w:bCs w:val="false"/>
          <w:sz w:val="28"/>
          <w:szCs w:val="28"/>
        </w:rPr>
        <w:t>Администрации</w:t>
      </w:r>
      <w:r>
        <w:rPr>
          <w:b w:val="false"/>
          <w:bCs w:val="false"/>
          <w:sz w:val="28"/>
          <w:szCs w:val="28"/>
        </w:rPr>
        <w:t>, МФЦ, а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</w:rPr>
        <w:t>также их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</w:rPr>
        <w:t>должностных лиц, муниципальных служащих и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</w:rPr>
        <w:t xml:space="preserve">работников» </w:t>
      </w:r>
      <w:r>
        <w:rPr>
          <w:rStyle w:val="2"/>
          <w:b w:val="false"/>
          <w:bCs w:val="false"/>
          <w:sz w:val="28"/>
          <w:szCs w:val="28"/>
        </w:rPr>
        <w:t>Регламента</w:t>
      </w:r>
      <w:r>
        <w:rPr>
          <w:b w:val="false"/>
          <w:bCs w:val="false"/>
          <w:sz w:val="28"/>
          <w:szCs w:val="28"/>
        </w:rPr>
        <w:t>, а</w:t>
      </w:r>
      <w:r>
        <w:rPr>
          <w:b w:val="false"/>
          <w:bCs w:val="false"/>
          <w:sz w:val="28"/>
          <w:szCs w:val="28"/>
        </w:rPr>
        <w:t> </w:t>
      </w:r>
      <w:r>
        <w:rPr>
          <w:b w:val="false"/>
          <w:bCs w:val="false"/>
          <w:sz w:val="28"/>
          <w:szCs w:val="28"/>
        </w:rPr>
        <w:t>также в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</w:rPr>
        <w:t>судебном порядке в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</w:rPr>
        <w:t>соответствии с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</w:rPr>
        <w:t>законодательством Российской Федерации.</w:t>
      </w:r>
    </w:p>
    <w:p>
      <w:pPr>
        <w:sectPr>
          <w:type w:val="continuous"/>
          <w:pgSz w:w="11906" w:h="16838"/>
          <w:pgMar w:left="1134" w:right="850" w:header="0" w:top="1134" w:footer="0" w:bottom="1134" w:gutter="0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 w:before="0" w:after="0"/>
        <w:ind w:left="0" w:right="0" w:firstLine="709"/>
        <w:jc w:val="both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</w:r>
    </w:p>
    <w:p>
      <w:pPr>
        <w:pStyle w:val="Style9"/>
        <w:bidi w:val="0"/>
        <w:spacing w:lineRule="auto" w:line="276" w:before="0" w:after="0"/>
        <w:ind w:left="0" w:right="0" w:firstLine="709"/>
        <w:jc w:val="both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  <w:t>Дополнительно информируем:</w:t>
      </w:r>
    </w:p>
    <w:p>
      <w:pPr>
        <w:pStyle w:val="Style9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 w:val="false"/>
          <w:sz w:val="28"/>
          <w:szCs w:val="28"/>
        </w:rPr>
        <w:t>_____</w:t>
      </w:r>
      <w:r>
        <w:rPr>
          <w:b w:val="false"/>
          <w:sz w:val="28"/>
          <w:szCs w:val="28"/>
        </w:rPr>
        <w:t>__________________________________________________________</w:t>
      </w:r>
      <w:r>
        <w:rPr>
          <w:b w:val="false"/>
          <w:sz w:val="28"/>
          <w:szCs w:val="28"/>
        </w:rPr>
        <w:t xml:space="preserve"> (</w:t>
      </w:r>
      <w:r>
        <w:rPr>
          <w:b w:val="false"/>
          <w:i/>
          <w:sz w:val="28"/>
          <w:szCs w:val="28"/>
        </w:rPr>
        <w:t>указывается информация, необходимая для устранения оснований для отказа в</w:t>
      </w:r>
      <w:r>
        <w:rPr>
          <w:b w:val="false"/>
          <w:i/>
          <w:sz w:val="28"/>
          <w:szCs w:val="28"/>
        </w:rPr>
        <w:t> </w:t>
      </w:r>
      <w:r>
        <w:rPr>
          <w:b w:val="false"/>
          <w:i/>
          <w:sz w:val="28"/>
          <w:szCs w:val="28"/>
        </w:rPr>
        <w:t>предоставлении муниципальной услуги, а</w:t>
      </w:r>
      <w:r>
        <w:rPr>
          <w:b w:val="false"/>
          <w:i/>
          <w:sz w:val="28"/>
          <w:szCs w:val="28"/>
        </w:rPr>
        <w:t> </w:t>
      </w:r>
      <w:r>
        <w:rPr>
          <w:b w:val="false"/>
          <w:i/>
          <w:sz w:val="28"/>
          <w:szCs w:val="28"/>
        </w:rPr>
        <w:t>также иная дополнительная информация при необходимости</w:t>
      </w:r>
      <w:r>
        <w:rPr>
          <w:b w:val="false"/>
          <w:sz w:val="28"/>
          <w:szCs w:val="28"/>
        </w:rPr>
        <w:t>).</w:t>
      </w:r>
    </w:p>
    <w:p>
      <w:pPr>
        <w:pStyle w:val="Style9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sectPr>
          <w:type w:val="continuous"/>
          <w:pgSz w:w="11906" w:h="16838"/>
          <w:pgMar w:left="1134" w:right="850" w:header="0" w:top="1134" w:footer="0" w:bottom="1134" w:gutter="0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 w:before="0" w:after="0"/>
        <w:ind w:left="0" w:right="0" w:firstLine="709"/>
        <w:jc w:val="both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  <w:t xml:space="preserve"> </w:t>
      </w:r>
      <w:r>
        <w:rPr>
          <w:b w:val="false"/>
          <w:sz w:val="28"/>
          <w:szCs w:val="28"/>
          <w:lang w:val="en-US"/>
        </w:rPr>
        <w:t>______________                                                             _______________</w:t>
      </w:r>
    </w:p>
    <w:tbl>
      <w:tblPr>
        <w:tblW w:w="5000" w:type="pct"/>
        <w:jc w:val="left"/>
        <w:tblInd w:w="28" w:type="dxa"/>
        <w:tblCellMar>
          <w:top w:w="0" w:type="dxa"/>
          <w:left w:w="28" w:type="dxa"/>
          <w:bottom w:w="0" w:type="dxa"/>
          <w:right w:w="28" w:type="dxa"/>
        </w:tblCellMar>
      </w:tblPr>
      <w:tblGrid>
        <w:gridCol w:w="3537"/>
        <w:gridCol w:w="2875"/>
        <w:gridCol w:w="3510"/>
      </w:tblGrid>
      <w:tr>
        <w:trPr>
          <w:trHeight w:val="283" w:hRule="atLeast"/>
        </w:trPr>
        <w:tc>
          <w:tcPr>
            <w:tcW w:w="3537" w:type="dxa"/>
            <w:tcBorders/>
          </w:tcPr>
          <w:p>
            <w:pPr>
              <w:pStyle w:val="Style9"/>
              <w:keepNext w:val="true"/>
              <w:bidi w:val="0"/>
              <w:spacing w:lineRule="auto" w:line="276" w:before="0" w:after="0"/>
              <w:ind w:left="0" w:right="0" w:hanging="0"/>
              <w:jc w:val="center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  <w:t xml:space="preserve">(уполномоченное должностное лицо </w:t>
            </w:r>
            <w:r>
              <w:rPr>
                <w:b w:val="false"/>
                <w:sz w:val="28"/>
                <w:szCs w:val="28"/>
                <w:lang w:val="ru-RU"/>
              </w:rPr>
              <w:t>Администрации</w:t>
            </w:r>
            <w:r>
              <w:rPr>
                <w:b w:val="false"/>
                <w:sz w:val="28"/>
                <w:szCs w:val="28"/>
              </w:rPr>
              <w:t>)</w:t>
            </w:r>
          </w:p>
        </w:tc>
        <w:tc>
          <w:tcPr>
            <w:tcW w:w="2875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left="350" w:right="0" w:hanging="0"/>
              <w:jc w:val="center"/>
              <w:textAlignment w:val="baseline"/>
              <w:rPr>
                <w:rFonts w:ascii="Times New Roman" w:hAnsi="Times New Roman" w:eastAsia="Andale Sans UI" w:cs="Times New Roman"/>
                <w:color w:val="FFFFFF"/>
                <w:kern w:val="2"/>
                <w:sz w:val="28"/>
                <w:szCs w:val="28"/>
                <w:highlight w:val="white"/>
                <w:lang w:val="de-DE" w:eastAsia="ja-JP" w:bidi="fa-IR"/>
              </w:rPr>
            </w:pPr>
            <w:r>
              <w:rPr>
                <w:rFonts w:eastAsia="Andale Sans UI" w:cs="Times New Roman" w:ascii="Times New Roman" w:hAnsi="Times New Roman"/>
                <w:color w:val="FFFFFF"/>
                <w:kern w:val="2"/>
                <w:sz w:val="28"/>
                <w:szCs w:val="28"/>
                <w:highlight w:val="white"/>
                <w:lang w:val="de-DE" w:eastAsia="ja-JP" w:bidi="fa-IR"/>
              </w:rPr>
            </w:r>
          </w:p>
        </w:tc>
        <w:tc>
          <w:tcPr>
            <w:tcW w:w="3510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Style9"/>
              <w:keepNext w:val="true"/>
              <w:bidi w:val="0"/>
              <w:spacing w:lineRule="auto" w:line="276" w:before="0" w:after="0"/>
              <w:ind w:left="0" w:right="0" w:hanging="0"/>
              <w:jc w:val="center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  <w:t>(подпись, фамилия, инициалы)</w:t>
            </w:r>
          </w:p>
        </w:tc>
      </w:tr>
      <w:tr>
        <w:trPr>
          <w:trHeight w:val="283" w:hRule="atLeast"/>
        </w:trPr>
        <w:tc>
          <w:tcPr>
            <w:tcW w:w="3537" w:type="dxa"/>
            <w:tcBorders/>
          </w:tcPr>
          <w:p>
            <w:pPr>
              <w:pStyle w:val="Style9"/>
              <w:keepNext w:val="true"/>
              <w:bidi w:val="0"/>
              <w:spacing w:lineRule="auto" w:line="276" w:before="0" w:after="0"/>
              <w:ind w:left="0" w:right="0" w:hanging="0"/>
              <w:jc w:val="center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  <w:tc>
          <w:tcPr>
            <w:tcW w:w="2875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left="350" w:right="0" w:hanging="0"/>
              <w:jc w:val="center"/>
              <w:textAlignment w:val="baseline"/>
              <w:rPr>
                <w:rFonts w:ascii="Times New Roman" w:hAnsi="Times New Roman" w:eastAsia="Andale Sans UI" w:cs="Times New Roman"/>
                <w:color w:val="FFFFFF"/>
                <w:kern w:val="2"/>
                <w:sz w:val="28"/>
                <w:szCs w:val="28"/>
                <w:highlight w:val="white"/>
                <w:lang w:val="de-DE" w:eastAsia="ja-JP" w:bidi="fa-IR"/>
              </w:rPr>
            </w:pPr>
            <w:r>
              <w:rPr>
                <w:rFonts w:eastAsia="Andale Sans UI" w:cs="Times New Roman" w:ascii="Times New Roman" w:hAnsi="Times New Roman"/>
                <w:color w:val="FFFFFF"/>
                <w:kern w:val="2"/>
                <w:sz w:val="28"/>
                <w:szCs w:val="28"/>
                <w:highlight w:val="white"/>
                <w:lang w:val="de-DE" w:eastAsia="ja-JP" w:bidi="fa-IR"/>
              </w:rPr>
            </w:r>
          </w:p>
        </w:tc>
        <w:tc>
          <w:tcPr>
            <w:tcW w:w="3510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Style9"/>
              <w:bidi w:val="0"/>
              <w:spacing w:lineRule="auto" w:line="276" w:before="0" w:after="0"/>
              <w:ind w:left="0" w:right="0" w:firstLine="709"/>
              <w:jc w:val="right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  <w:t>«__» _____ 202__</w:t>
            </w:r>
          </w:p>
        </w:tc>
      </w:tr>
    </w:tbl>
    <w:p>
      <w:pPr>
        <w:sectPr>
          <w:type w:val="continuous"/>
          <w:pgSz w:w="11906" w:h="16838"/>
          <w:pgMar w:left="1134" w:right="850" w:header="0" w:top="1134" w:footer="0" w:bottom="1134" w:gutter="0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 w:before="0" w:after="0"/>
        <w:ind w:left="0" w:right="0" w:firstLine="709"/>
        <w:jc w:val="left"/>
        <w:rPr/>
      </w:pPr>
      <w:r>
        <w:rPr/>
      </w:r>
    </w:p>
    <w:sectPr>
      <w:type w:val="continuous"/>
      <w:pgSz w:w="11906" w:h="16838"/>
      <w:pgMar w:left="1134" w:right="850" w:header="0" w:top="1134" w:footer="0" w:bottom="1134" w:gutter="0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StarSymbol">
    <w:altName w:val="Arial Unicode MS"/>
    <w:charset w:val="01"/>
    <w:family w:val="auto"/>
    <w:pitch w:val="default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alibri">
    <w:charset w:val="01"/>
    <w:family w:val="roman"/>
    <w:pitch w:val="variable"/>
  </w:font>
  <w:font w:name="Liberation Mono">
    <w:altName w:val="Courier New"/>
    <w:charset w:val="01"/>
    <w:family w:val="modern"/>
    <w:pitch w:val="fixed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Heading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</w:abstractNum>
  <w:abstractNum w:abstractNumId="5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Heading"/>
    <w:next w:val="Normal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Heading"/>
    <w:next w:val="Normal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"/>
    <w:next w:val="Normal"/>
    <w:qFormat/>
    <w:pPr>
      <w:numPr>
        <w:ilvl w:val="2"/>
        <w:numId w:val="1"/>
      </w:numPr>
      <w:spacing w:before="140" w:after="120"/>
      <w:outlineLvl w:val="2"/>
    </w:pPr>
    <w:rPr>
      <w:b/>
      <w:bCs/>
      <w:color w:val="808080"/>
      <w:sz w:val="28"/>
      <w:szCs w:val="28"/>
    </w:rPr>
  </w:style>
  <w:style w:type="paragraph" w:styleId="Heading4">
    <w:name w:val="Heading 4"/>
    <w:basedOn w:val="Heading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Heading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>
      <w:rFonts w:ascii="StarSymbol" w:hAnsi="StarSymbol" w:eastAsia="StarSymbol" w:cs="StarSymbol"/>
      <w:sz w:val="18"/>
      <w:szCs w:val="18"/>
    </w:rPr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vertAlign w:val="baseline"/>
    </w:rPr>
  </w:style>
  <w:style w:type="character" w:styleId="DefaultParagraphFont">
    <w:name w:val="Default Paragraph Font"/>
    <w:qFormat/>
    <w:rPr/>
  </w:style>
  <w:style w:type="character" w:styleId="Style8">
    <w:name w:val="обычный приложения Знак"/>
    <w:basedOn w:val="DefaultParagraphFont"/>
    <w:qFormat/>
    <w:rPr>
      <w:rFonts w:ascii="Times New Roman" w:hAnsi="Times New Roman" w:eastAsia="Calibri"/>
      <w:b/>
      <w:sz w:val="24"/>
      <w:szCs w:val="24"/>
    </w:rPr>
  </w:style>
  <w:style w:type="character" w:styleId="2">
    <w:name w:val="АР Прил 2 Знак"/>
    <w:basedOn w:val="Style8"/>
    <w:qFormat/>
    <w:rPr>
      <w:rFonts w:ascii="Times New Roman" w:hAnsi="Times New Roman" w:eastAsia="Calibri"/>
      <w:b/>
      <w:sz w:val="24"/>
      <w:szCs w:val="24"/>
    </w:rPr>
  </w:style>
  <w:style w:type="paragraph" w:styleId="ParaKWN">
    <w:name w:val="ParaKWN"/>
    <w:basedOn w:val="Normal"/>
    <w:qFormat/>
    <w:pPr>
      <w:keepNext w:val="true"/>
    </w:pPr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PodPageBreakBefore">
    <w:name w:val="podPageBreakBefore"/>
    <w:qFormat/>
    <w:pPr>
      <w:pageBreakBefore/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After">
    <w:name w:val="podPageBreakAfter"/>
    <w:qFormat/>
    <w:pPr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2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3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Style9">
    <w:name w:val="обычный приложения"/>
    <w:basedOn w:val="Normal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1">
    <w:name w:val="АР Прил 2"/>
    <w:basedOn w:val="Style9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2">
    <w:name w:val="Рег. Заголовок 2-го уровня регламента"/>
    <w:basedOn w:val="Normal"/>
    <w:qFormat/>
    <w:pPr>
      <w:numPr>
        <w:ilvl w:val="0"/>
        <w:numId w:val="0"/>
      </w:numPr>
      <w:spacing w:lineRule="auto" w:line="240" w:before="0" w:after="0"/>
      <w:jc w:val="center"/>
      <w:outlineLvl w:val="1"/>
    </w:pPr>
    <w:rPr>
      <w:rFonts w:ascii="Times New Roman" w:hAnsi="Times New Roman" w:eastAsia="Calibri"/>
      <w:b/>
      <w:bCs/>
      <w:sz w:val="24"/>
      <w:szCs w:val="24"/>
    </w:rPr>
  </w:style>
  <w:style w:type="paragraph" w:styleId="Footnote">
    <w:name w:val="Footnote Text"/>
    <w:basedOn w:val="Normal"/>
    <w:pPr>
      <w:suppressLineNumbers/>
      <w:ind w:left="340" w:right="0" w:hanging="340"/>
    </w:pPr>
    <w:rPr>
      <w:sz w:val="20"/>
      <w:szCs w:val="20"/>
    </w:rPr>
  </w:style>
  <w:style w:type="paragraph" w:styleId="TableHeading1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NormalTable">
    <w:name w:val="Normal Table"/>
    <w:qFormat/>
    <w:pPr>
      <w:widowControl/>
      <w:kinsoku w:val="true"/>
      <w:overflowPunct w:val="true"/>
      <w:autoSpaceDE w:val="true"/>
      <w:bidi w:val="0"/>
      <w:spacing w:lineRule="auto" w:line="276" w:before="0" w:after="200"/>
      <w:jc w:val="left"/>
      <w:textAlignment w:val="auto"/>
    </w:pPr>
    <w:rPr>
      <w:rFonts w:ascii="Calibri" w:hAnsi="Calibri" w:eastAsia="Times New Roman" w:cs="Times New Roman"/>
      <w:color w:val="auto"/>
      <w:kern w:val="2"/>
      <w:sz w:val="22"/>
      <w:szCs w:val="22"/>
      <w:lang w:val="ru-RU" w:eastAsia="en-US" w:bidi="ar-SA"/>
    </w:rPr>
  </w:style>
  <w:style w:type="paragraph" w:styleId="PreformattedText">
    <w:name w:val="Preformatted Text"/>
    <w:basedOn w:val="Normal"/>
    <w:qFormat/>
    <w:pPr>
      <w:spacing w:before="0" w:after="0"/>
    </w:pPr>
    <w:rPr>
      <w:rFonts w:ascii="Liberation Mono" w:hAnsi="Liberation Mono" w:eastAsia="NSimSun" w:cs="Liberation Mono"/>
      <w:sz w:val="20"/>
      <w:szCs w:val="20"/>
    </w:rPr>
  </w:style>
  <w:style w:type="numbering" w:styleId="PodBulletedList">
    <w:name w:val="podBulletedList"/>
    <w:qFormat/>
  </w:style>
  <w:style w:type="numbering" w:styleId="PodNumberedList">
    <w:name w:val="podNumber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5619</TotalTime>
  <Application>LibreOffice/6.4.7.2$Linux_X86_64 LibreOffice_project/40$Build-2</Application>
  <Pages>4</Pages>
  <Words>787</Words>
  <Characters>6401</Characters>
  <CharactersWithSpaces>7392</CharactersWithSpaces>
  <Paragraphs>72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2023-05-12T14:59:09Z</dcterms:created>
  <dc:creator/>
  <dc:description/>
  <dc:language>en-US</dc:language>
  <cp:lastModifiedBy/>
  <dcterms:modified xsi:type="dcterms:W3CDTF">2024-11-22T19:06:14Z</dcterms:modified>
  <cp:revision>160</cp:revision>
  <dc:subject/>
  <dc:title/>
</cp:coreProperties>
</file>