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14575" w:type="dxa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62"/>
        <w:gridCol w:w="5403"/>
        <w:gridCol w:w="4910"/>
      </w:tblGrid>
      <w:tr>
        <w:trPr>
          <w:trHeight w:val="283" w:hRule="atLeast"/>
        </w:trPr>
        <w:tc>
          <w:tcPr>
            <w:tcW w:w="4262" w:type="dxa"/>
            <w:tcBorders/>
          </w:tcPr>
          <w:p>
            <w:pPr>
              <w:pStyle w:val="TableContents"/>
              <w:pageBreakBefore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ru-RU"/>
              </w:rPr>
            </w:r>
          </w:p>
        </w:tc>
        <w:tc>
          <w:tcPr>
            <w:tcW w:w="5403" w:type="dxa"/>
            <w:tcBorders/>
            <w:tcMar>
              <w:left w:w="10" w:type="dxa"/>
              <w:right w:w="10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565" w:leader="none"/>
              </w:tabs>
              <w:suppressAutoHyphens w:val="true"/>
              <w:bidi w:val="0"/>
              <w:spacing w:lineRule="auto" w:line="240" w:before="0" w:after="0"/>
              <w:ind w:hanging="0" w:left="0" w:right="0"/>
              <w:jc w:val="center"/>
              <w:textAlignment w:val="baseline"/>
              <w:rPr>
                <w:rFonts w:ascii="Liberation Serif" w:hAnsi="Liberation Serif"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pPr>
            <w:r>
              <w:rPr>
                <w:rFonts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r>
          </w:p>
        </w:tc>
        <w:tc>
          <w:tcPr>
            <w:tcW w:w="4910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/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12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к административному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регламенту предоставления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муниципальной услуги «Переселение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граждан из аварийного жилья»,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утвержденному постановлением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Администрации закрытого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административно-территориального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образования городской округ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Молодёжный Московской области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 w:eastAsia="Calibri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</w:pPr>
            <w:r>
              <w:rPr>
                <w:rFonts w:eastAsia="Calibri" w:ascii="Times New Roman" w:hAnsi="Times New Roman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  <w:t>$orderNum$</w:t>
            </w:r>
          </w:p>
        </w:tc>
      </w:tr>
    </w:tbl>
    <w:p>
      <w:pPr>
        <w:pStyle w:val="Normal"/>
        <w:jc w:val="right"/>
        <w:rPr>
          <w:lang w:val="ru-RU"/>
        </w:rPr>
      </w:pPr>
      <w:r>
        <w:rPr>
          <w:lang w:val="ru-RU"/>
        </w:rPr>
      </w:r>
    </w:p>
    <w:p>
      <w:pPr>
        <w:pStyle w:val="Style9"/>
        <w:bidi w:val="0"/>
        <w:ind w:hanging="0" w:left="0" w:right="0"/>
        <w:jc w:val="center"/>
        <w:rPr/>
      </w:pPr>
      <w:r>
        <w:rPr>
          <w:rStyle w:val="Style8"/>
          <w:b w:val="false"/>
          <w:bCs w:val="false"/>
          <w:sz w:val="28"/>
          <w:szCs w:val="28"/>
          <w:lang w:val="ru-RU" w:eastAsia="ru-RU" w:bidi="ar-SA"/>
        </w:rPr>
        <w:t>Исчерпывающий перечень оснований для отказа в приеме заявления и документов, необходимых для предоставления Услуги, оснований для приостановления предоставления Услуги или отказа в предоставлении Услуги</w:t>
      </w:r>
    </w:p>
    <w:p>
      <w:pPr>
        <w:pStyle w:val="Style9"/>
        <w:bidi w:val="0"/>
        <w:ind w:hanging="0" w:left="0" w:right="0"/>
        <w:jc w:val="center"/>
        <w:rPr/>
      </w:pPr>
      <w:r>
        <w:rPr/>
      </w:r>
    </w:p>
    <w:p>
      <w:pPr>
        <w:sectPr>
          <w:type w:val="nextPage"/>
          <w:pgSz w:orient="landscape" w:w="16838" w:h="11906"/>
          <w:pgMar w:left="1134" w:right="1134" w:gutter="0" w:header="0" w:top="1134" w:footer="0" w:bottom="1134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bidi w:val="0"/>
        <w:ind w:firstLine="720" w:left="0" w:right="0"/>
        <w:jc w:val="center"/>
        <w:rPr>
          <w:sz w:val="28"/>
          <w:szCs w:val="28"/>
        </w:rPr>
      </w:pPr>
      <w:r>
        <w:rPr>
          <w:sz w:val="28"/>
          <w:szCs w:val="28"/>
        </w:rPr>
        <w:t>Исчерпывающий перечень оснований для отказа в приеме заявления и документов,</w:t>
      </w:r>
    </w:p>
    <w:p>
      <w:pPr>
        <w:pStyle w:val="Normal"/>
        <w:bidi w:val="0"/>
        <w:ind w:firstLine="720" w:left="0" w:right="0"/>
        <w:jc w:val="center"/>
        <w:rPr>
          <w:sz w:val="28"/>
          <w:szCs w:val="28"/>
        </w:rPr>
      </w:pPr>
      <w:r>
        <w:rPr>
          <w:sz w:val="28"/>
          <w:szCs w:val="28"/>
        </w:rPr>
        <w:t>необходимых для предоставления Услуги</w:t>
      </w:r>
    </w:p>
    <w:p>
      <w:pPr>
        <w:pStyle w:val="Normal"/>
        <w:bidi w:val="0"/>
        <w:ind w:firstLine="720" w:left="0" w:right="0"/>
        <w:jc w:val="center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14585" w:type="dxa"/>
        <w:jc w:val="left"/>
        <w:tblInd w:w="-1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6"/>
        <w:gridCol w:w="10353"/>
        <w:gridCol w:w="3436"/>
      </w:tblGrid>
      <w:tr>
        <w:trPr/>
        <w:tc>
          <w:tcPr>
            <w:tcW w:w="796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Style10"/>
              <w:widowControl w:val="false"/>
              <w:tabs>
                <w:tab w:val="clear" w:pos="709"/>
              </w:tabs>
              <w:bidi w:val="0"/>
              <w:ind w:hanging="0" w:left="0" w:righ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Style9"/>
              <w:widowControl w:val="false"/>
              <w:tabs>
                <w:tab w:val="clear" w:pos="709"/>
              </w:tabs>
              <w:bidi w:val="0"/>
              <w:ind w:hanging="0" w:left="0" w:righ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оснований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tabs>
                <w:tab w:val="clear" w:pos="709"/>
              </w:tabs>
              <w:bidi w:val="0"/>
              <w:ind w:hanging="0" w:left="0" w:righ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Идентификатор категорий (признаков) заявителей</w:t>
            </w:r>
          </w:p>
        </w:tc>
      </w:tr>
      <w:tr>
        <w:trPr/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документы, необходимые для предоставления Услуги, утратили силу, отменены или являются недействительными на момент обращения с запросом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А1, Б1, В1</w:t>
            </w:r>
          </w:p>
        </w:tc>
      </w:tr>
      <w:tr>
        <w:trPr/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непрохождение проверки фамильно⁠-⁠именной группы (неподтверждение соответствия фамилии, имени, отчества, даты рождения, пола, страхового номера индивидуального лицевого счета (СНИЛС)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А1, Б1, В1</w:t>
            </w:r>
          </w:p>
        </w:tc>
      </w:tr>
      <w:tr>
        <w:trPr/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представление заявителем (представителем) неполного комплекта документов (сведений)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А1, Б1, В1</w:t>
            </w:r>
          </w:p>
        </w:tc>
      </w:tr>
      <w:tr>
        <w:trPr/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документы содержат повреждения, наличие которых не позволяет в полном объеме использовать информацию и сведения, содержащиеся в документах для предоставления Услуги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А1, Б1, В1</w:t>
            </w:r>
          </w:p>
        </w:tc>
      </w:tr>
      <w:tr>
        <w:trPr/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поступление запроса, аналогичного ранее зарегистрированному запросу, срок предоставления Услуги по которому не истек на момент поступления такого запроса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А1, Б1, В1</w:t>
            </w:r>
          </w:p>
        </w:tc>
      </w:tr>
      <w:tr>
        <w:trPr/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6.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подача запроса без представления документа, удостоверяющего личность заявителя, представителя заявителя, а также подача запроса лицом, не имеющим полномочий представлять интересы заявителя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А1, Б1, В1</w:t>
            </w:r>
          </w:p>
        </w:tc>
      </w:tr>
      <w:tr>
        <w:trPr/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7.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несоответствие документов, указанных в Приложении 7 Регламента, по форме или содержанию требованиям законодательства Российской Федерации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А1, Б1, В1</w:t>
            </w:r>
          </w:p>
        </w:tc>
      </w:tr>
      <w:tr>
        <w:trPr/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8.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некорректное заполнение обязательных полей в форме запроса, в том числе интерактивного запроса на РПГУ (отсутствие заполнения, недостоверное, неполное либо неправильное, несоответствующее требованиям, установленным Регламентом)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А1, Б1, В1</w:t>
            </w:r>
          </w:p>
        </w:tc>
      </w:tr>
    </w:tbl>
    <w:p>
      <w:pPr>
        <w:pStyle w:val="Normal"/>
        <w:widowControl w:val="false"/>
        <w:bidi w:val="0"/>
        <w:ind w:firstLine="720" w:left="0" w:right="0"/>
        <w:rPr>
          <w:vanish/>
          <w:sz w:val="28"/>
          <w:szCs w:val="28"/>
        </w:rPr>
      </w:pPr>
      <w:r>
        <w:rPr>
          <w:vanish/>
          <w:sz w:val="28"/>
          <w:szCs w:val="28"/>
        </w:rPr>
      </w:r>
    </w:p>
    <w:p>
      <w:pPr>
        <w:sectPr>
          <w:type w:val="continuous"/>
          <w:pgSz w:orient="landscape" w:w="16838" w:h="11906"/>
          <w:pgMar w:left="1134" w:right="1134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bidi w:val="0"/>
        <w:ind w:firstLine="720" w:left="0" w:right="0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bidi w:val="0"/>
        <w:ind w:firstLine="720" w:left="0" w:right="0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bidi w:val="0"/>
        <w:ind w:firstLine="720" w:left="0" w:right="0"/>
        <w:jc w:val="center"/>
        <w:rPr>
          <w:sz w:val="28"/>
          <w:szCs w:val="28"/>
        </w:rPr>
      </w:pPr>
      <w:r>
        <w:rPr>
          <w:sz w:val="28"/>
          <w:szCs w:val="28"/>
        </w:rPr>
        <w:t>Исчерпывающий перечень оснований для приостановления предоставления Услуги</w:t>
      </w:r>
    </w:p>
    <w:p>
      <w:pPr>
        <w:pStyle w:val="Normal"/>
        <w:bidi w:val="0"/>
        <w:ind w:firstLine="720" w:left="0" w:right="0"/>
        <w:jc w:val="center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14575" w:type="dxa"/>
        <w:jc w:val="left"/>
        <w:tblInd w:w="-1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6"/>
        <w:gridCol w:w="10353"/>
        <w:gridCol w:w="3426"/>
      </w:tblGrid>
      <w:tr>
        <w:trPr/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bidi w:val="0"/>
              <w:ind w:hanging="0" w:left="0" w:righ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bidi w:val="0"/>
              <w:ind w:hanging="0" w:left="0" w:righ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оснований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bidi w:val="0"/>
              <w:ind w:hanging="0" w:left="0" w:righ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Идентификатор категорий (признаков) заявителей</w:t>
            </w:r>
          </w:p>
        </w:tc>
      </w:tr>
      <w:tr>
        <w:trPr/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приостановка срока осуществляется в целях проведения мероприятий по оценочной стоимости АЖФ для предоставления заявителю точной выкупной суммы за АЖФ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Б1</w:t>
            </w:r>
          </w:p>
        </w:tc>
      </w:tr>
    </w:tbl>
    <w:p>
      <w:pPr>
        <w:pStyle w:val="Normal"/>
        <w:widowControl w:val="false"/>
        <w:bidi w:val="0"/>
        <w:ind w:firstLine="720" w:left="0" w:right="0"/>
        <w:rPr>
          <w:vanish/>
          <w:sz w:val="28"/>
          <w:szCs w:val="28"/>
        </w:rPr>
      </w:pPr>
      <w:r>
        <w:rPr>
          <w:vanish/>
          <w:sz w:val="28"/>
          <w:szCs w:val="28"/>
        </w:rPr>
      </w:r>
    </w:p>
    <w:p>
      <w:pPr>
        <w:sectPr>
          <w:type w:val="continuous"/>
          <w:pgSz w:orient="landscape" w:w="16838" w:h="11906"/>
          <w:pgMar w:left="1134" w:right="1134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bidi w:val="0"/>
        <w:ind w:firstLine="720" w:left="0" w:right="0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bidi w:val="0"/>
        <w:ind w:firstLine="720" w:left="0" w:right="0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bidi w:val="0"/>
        <w:ind w:firstLine="720" w:left="0" w:right="0"/>
        <w:jc w:val="center"/>
        <w:rPr>
          <w:sz w:val="28"/>
          <w:szCs w:val="28"/>
        </w:rPr>
      </w:pPr>
      <w:r>
        <w:rPr>
          <w:sz w:val="28"/>
          <w:szCs w:val="28"/>
        </w:rPr>
        <w:t>Исчерпывающий перечень оснований для отказа в предоставлении Услуги</w:t>
      </w:r>
    </w:p>
    <w:p>
      <w:pPr>
        <w:pStyle w:val="Normal"/>
        <w:bidi w:val="0"/>
        <w:ind w:firstLine="720" w:left="0" w:right="0"/>
        <w:jc w:val="center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14575" w:type="dxa"/>
        <w:jc w:val="left"/>
        <w:tblInd w:w="-1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6"/>
        <w:gridCol w:w="10353"/>
        <w:gridCol w:w="3426"/>
      </w:tblGrid>
      <w:tr>
        <w:trPr/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bidi w:val="0"/>
              <w:ind w:hanging="0" w:left="0" w:righ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bidi w:val="0"/>
              <w:ind w:hanging="0" w:left="0" w:righ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оснований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bidi w:val="0"/>
              <w:ind w:hanging="0" w:left="0" w:righ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Идентификатор категорий (признаков) заявителей</w:t>
            </w:r>
          </w:p>
        </w:tc>
      </w:tr>
      <w:tr>
        <w:trPr/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отзыв запроса по инициативе заявителя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А1, Б1, В1</w:t>
            </w:r>
          </w:p>
        </w:tc>
      </w:tr>
      <w:tr>
        <w:trPr/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несоответствие информации, которая содержится в документах, представленных заявителем, сведениям, полученным в результате межведомственного информационного взаимодействия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А1, Б1, В1</w:t>
            </w:r>
          </w:p>
        </w:tc>
      </w:tr>
      <w:tr>
        <w:trPr/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несоответствие категории заявителя кругу лиц, указанных в подразделе 2, Приложении 2 к Регламенту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А1, Б1, В1</w:t>
            </w:r>
          </w:p>
        </w:tc>
      </w:tr>
    </w:tbl>
    <w:p>
      <w:pPr>
        <w:pStyle w:val="Normal"/>
        <w:widowControl w:val="false"/>
        <w:ind w:hanging="0" w:left="0" w:right="0"/>
        <w:rPr>
          <w:vanish/>
          <w:lang w:val="ru-RU"/>
        </w:rPr>
      </w:pPr>
      <w:r>
        <w:rPr>
          <w:vanish/>
          <w:lang w:val="ru-RU"/>
        </w:rPr>
      </w:r>
    </w:p>
    <w:sectPr>
      <w:type w:val="continuous"/>
      <w:pgSz w:orient="landscape" w:w="16838" w:h="11906"/>
      <w:pgMar w:left="1134" w:right="1134" w:gutter="0" w:header="0" w:top="1134" w:footer="0" w:bottom="1134"/>
      <w:formProt w:val="false"/>
      <w:textDirection w:val="lrTb"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Calibri">
    <w:charset w:val="01"/>
    <w:family w:val="roman"/>
    <w:pitch w:val="variable"/>
  </w:font>
  <w:font w:name="Symbol">
    <w:charset w:val="02"/>
    <w:family w:val="auto"/>
    <w:pitch w:val="default"/>
  </w:font>
  <w:font w:name="OpenSymbol">
    <w:altName w:val="Arial Unicode MS"/>
    <w:charset w:val="01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none"/>
      <w:suff w:val="nothing"/>
      <w:lvlText w:val="%1"/>
      <w:lvlJc w:val="left"/>
      <w:pPr>
        <w:tabs>
          <w:tab w:val="num" w:pos="0"/>
        </w:tabs>
        <w:ind w:left="0" w:hanging="0"/>
      </w:pPr>
    </w:lvl>
    <w:lvl w:ilvl="1">
      <w:start w:val="1"/>
      <w:pStyle w:val="Heading2"/>
      <w:numFmt w:val="none"/>
      <w:suff w:val="nothing"/>
      <w:lvlText w:val="%2"/>
      <w:lvlJc w:val="left"/>
      <w:pPr>
        <w:tabs>
          <w:tab w:val="num" w:pos="0"/>
        </w:tabs>
        <w:ind w:left="0" w:hanging="0"/>
      </w:pPr>
    </w:lvl>
    <w:lvl w:ilvl="2">
      <w:start w:val="1"/>
      <w:pStyle w:val="Heading3"/>
      <w:numFmt w:val="none"/>
      <w:suff w:val="nothing"/>
      <w:lvlText w:val="%3"/>
      <w:lvlJc w:val="left"/>
      <w:pPr>
        <w:tabs>
          <w:tab w:val="num" w:pos="0"/>
        </w:tabs>
        <w:ind w:left="0" w:hanging="0"/>
      </w:pPr>
    </w:lvl>
    <w:lvl w:ilvl="3">
      <w:start w:val="1"/>
      <w:pStyle w:val="Heading4"/>
      <w:numFmt w:val="none"/>
      <w:suff w:val="nothing"/>
      <w:lvlText w:val="%4"/>
      <w:lvlJc w:val="left"/>
      <w:pPr>
        <w:tabs>
          <w:tab w:val="num" w:pos="0"/>
        </w:tabs>
        <w:ind w:left="0" w:hanging="0"/>
      </w:pPr>
    </w:lvl>
    <w:lvl w:ilvl="4">
      <w:start w:val="1"/>
      <w:pStyle w:val="Heading5"/>
      <w:numFmt w:val="none"/>
      <w:suff w:val="nothing"/>
      <w:lvlText w:val="%5"/>
      <w:lvlJc w:val="left"/>
      <w:pPr>
        <w:tabs>
          <w:tab w:val="num" w:pos="0"/>
        </w:tabs>
        <w:ind w:left="0" w:hanging="0"/>
      </w:pPr>
    </w:lvl>
    <w:lvl w:ilvl="5">
      <w:start w:val="1"/>
      <w:pStyle w:val="Heading6"/>
      <w:numFmt w:val="none"/>
      <w:suff w:val="nothing"/>
      <w:lvlText w:val="%6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345"/>
        </w:tabs>
        <w:ind w:left="345" w:hanging="230"/>
      </w:pPr>
      <w:rPr/>
    </w:lvl>
    <w:lvl w:ilvl="1">
      <w:start w:val="1"/>
      <w:numFmt w:val="decimal"/>
      <w:lvlText w:val="%2."/>
      <w:lvlJc w:val="left"/>
      <w:pPr>
        <w:tabs>
          <w:tab w:val="num" w:pos="806"/>
        </w:tabs>
        <w:ind w:left="806" w:hanging="230"/>
      </w:pPr>
      <w:rPr/>
    </w:lvl>
    <w:lvl w:ilvl="2">
      <w:start w:val="1"/>
      <w:numFmt w:val="decimal"/>
      <w:lvlText w:val="%3."/>
      <w:lvlJc w:val="left"/>
      <w:pPr>
        <w:tabs>
          <w:tab w:val="num" w:pos="1267"/>
        </w:tabs>
        <w:ind w:left="1267" w:hanging="230"/>
      </w:pPr>
      <w:rPr/>
    </w:lvl>
    <w:lvl w:ilvl="3">
      <w:start w:val="1"/>
      <w:numFmt w:val="decimal"/>
      <w:lvlText w:val="%4."/>
      <w:lvlJc w:val="left"/>
      <w:pPr>
        <w:tabs>
          <w:tab w:val="num" w:pos="1728"/>
        </w:tabs>
        <w:ind w:left="1728" w:hanging="23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345"/>
        </w:tabs>
        <w:ind w:left="345" w:hanging="23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806"/>
        </w:tabs>
        <w:ind w:left="806" w:hanging="23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267"/>
        </w:tabs>
        <w:ind w:left="1267" w:hanging="23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728"/>
        </w:tabs>
        <w:ind w:left="1728" w:hanging="23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4"/>
      <w:numFmt w:val="decimal"/>
      <w:lvlText w:val="%1."/>
      <w:lvlJc w:val="left"/>
      <w:pPr>
        <w:tabs>
          <w:tab w:val="num" w:pos="0"/>
        </w:tabs>
        <w:ind w:left="3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10"/>
  <w:defaultTabStop w:val="709"/>
  <w:autoHyphenation w:val="true"/>
  <w:compat>
    <w:compatSetting w:name="compatibilityMode" w:uri="http://schemas.microsoft.com/office/word" w:val="12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Heading1">
    <w:name w:val="Heading 1"/>
    <w:basedOn w:val="Heading"/>
    <w:next w:val="Normal"/>
    <w:qFormat/>
    <w:pPr>
      <w:numPr>
        <w:ilvl w:val="0"/>
        <w:numId w:val="1"/>
      </w:numPr>
      <w:spacing w:before="240" w:after="120"/>
      <w:outlineLvl w:val="0"/>
    </w:pPr>
    <w:rPr>
      <w:b/>
      <w:bCs/>
      <w:sz w:val="36"/>
      <w:szCs w:val="36"/>
    </w:rPr>
  </w:style>
  <w:style w:type="paragraph" w:styleId="Heading2">
    <w:name w:val="Heading 2"/>
    <w:basedOn w:val="Heading"/>
    <w:next w:val="Normal"/>
    <w:qFormat/>
    <w:pPr>
      <w:numPr>
        <w:ilvl w:val="1"/>
        <w:numId w:val="1"/>
      </w:numPr>
      <w:spacing w:before="200" w:after="120"/>
      <w:outlineLvl w:val="1"/>
    </w:pPr>
    <w:rPr>
      <w:b/>
      <w:bCs/>
      <w:sz w:val="32"/>
      <w:szCs w:val="32"/>
    </w:rPr>
  </w:style>
  <w:style w:type="paragraph" w:styleId="Heading3">
    <w:name w:val="Heading 3"/>
    <w:basedOn w:val="Heading"/>
    <w:next w:val="Normal"/>
    <w:qFormat/>
    <w:pPr>
      <w:numPr>
        <w:ilvl w:val="2"/>
        <w:numId w:val="1"/>
      </w:numPr>
      <w:spacing w:before="140" w:after="120"/>
      <w:outlineLvl w:val="2"/>
    </w:pPr>
    <w:rPr>
      <w:b/>
      <w:bCs/>
      <w:color w:val="808080"/>
      <w:sz w:val="28"/>
      <w:szCs w:val="28"/>
    </w:rPr>
  </w:style>
  <w:style w:type="paragraph" w:styleId="Heading4">
    <w:name w:val="Heading 4"/>
    <w:basedOn w:val="Heading"/>
    <w:next w:val="Normal"/>
    <w:qFormat/>
    <w:pPr>
      <w:numPr>
        <w:ilvl w:val="3"/>
        <w:numId w:val="1"/>
      </w:numPr>
      <w:spacing w:before="120" w:after="120"/>
      <w:outlineLvl w:val="3"/>
    </w:pPr>
    <w:rPr>
      <w:b/>
      <w:bCs/>
      <w:i/>
      <w:iCs/>
      <w:color w:val="808080"/>
      <w:sz w:val="27"/>
      <w:szCs w:val="27"/>
    </w:rPr>
  </w:style>
  <w:style w:type="paragraph" w:styleId="Heading5">
    <w:name w:val="Heading 5"/>
    <w:basedOn w:val="Heading"/>
    <w:next w:val="Normal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Heading6">
    <w:name w:val="Heading 6"/>
    <w:basedOn w:val="Heading"/>
    <w:next w:val="Normal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styleId="PODNumberingSymbols">
    <w:name w:val="POD Numbering Symbols"/>
    <w:qFormat/>
    <w:rPr/>
  </w:style>
  <w:style w:type="character" w:styleId="PODBulletSymbols">
    <w:name w:val="POD Bullet Symbols"/>
    <w:qFormat/>
    <w:rPr/>
  </w:style>
  <w:style w:type="character" w:styleId="WWCharLFO2LVL1">
    <w:name w:val="WW_CharLFO2LVL1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2">
    <w:name w:val="WW_CharLFO2LVL2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3">
    <w:name w:val="WW_CharLFO2LVL3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4">
    <w:name w:val="WW_CharLFO2LVL4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5">
    <w:name w:val="WW_CharLFO2LVL5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6">
    <w:name w:val="WW_CharLFO2LVL6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7">
    <w:name w:val="WW_CharLFO2LVL7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8">
    <w:name w:val="WW_CharLFO2LVL8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9">
    <w:name w:val="WW_CharLFO2LVL9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DefaultParagraphFont">
    <w:name w:val="Default Paragraph Font"/>
    <w:qFormat/>
    <w:rPr/>
  </w:style>
  <w:style w:type="character" w:styleId="Style8">
    <w:name w:val="Цветовое выделение"/>
    <w:qFormat/>
    <w:rPr>
      <w:b/>
      <w:color w:val="26282F"/>
    </w:rPr>
  </w:style>
  <w:style w:type="paragraph" w:styleId="ParaKWN">
    <w:name w:val="ParaKWN"/>
    <w:basedOn w:val="Normal"/>
    <w:qFormat/>
    <w:pPr>
      <w:keepNext w:val="true"/>
    </w:pPr>
    <w:rPr/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podPageBreakBefore">
    <w:name w:val="podPageBreakBefore"/>
    <w:qFormat/>
    <w:pPr>
      <w:pageBreakBefore/>
      <w:widowControl/>
      <w:kinsoku w:val="true"/>
      <w:overflowPunct w:val="true"/>
      <w:autoSpaceDE w:val="true"/>
      <w:bidi w:val="0"/>
      <w:spacing w:before="0" w:after="0"/>
      <w:ind w:left="0" w:right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PageBreakBeforeDuplex">
    <w:name w:val="podPageBreakBeforeDuplex"/>
    <w:basedOn w:val="podPageBreakBefore"/>
    <w:qFormat/>
    <w:pPr>
      <w:pageBreakBefore/>
    </w:pPr>
    <w:rPr/>
  </w:style>
  <w:style w:type="paragraph" w:styleId="podPageBreakAfter">
    <w:name w:val="podPageBreakAfter"/>
    <w:qFormat/>
    <w:pPr>
      <w:widowControl/>
      <w:kinsoku w:val="true"/>
      <w:overflowPunct w:val="true"/>
      <w:autoSpaceDE w:val="true"/>
      <w:bidi w:val="0"/>
      <w:spacing w:before="0" w:after="0"/>
      <w:ind w:left="0" w:right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ColumnBreak">
    <w:name w:val="podColumnBreak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podBulletItem">
    <w:name w:val="podBulletItem"/>
    <w:basedOn w:val="Normal"/>
    <w:qFormat/>
    <w:pPr>
      <w:numPr>
        <w:ilvl w:val="0"/>
        <w:numId w:val="3"/>
      </w:numPr>
    </w:pPr>
    <w:rPr/>
  </w:style>
  <w:style w:type="paragraph" w:styleId="podNumberItem">
    <w:name w:val="podNumberItem"/>
    <w:basedOn w:val="Normal"/>
    <w:qFormat/>
    <w:pPr>
      <w:numPr>
        <w:ilvl w:val="0"/>
        <w:numId w:val="2"/>
      </w:numPr>
    </w:pPr>
    <w:rPr/>
  </w:style>
  <w:style w:type="paragraph" w:styleId="podBulletItemKeepWithNext">
    <w:name w:val="podBulletItemKeepWithNext"/>
    <w:basedOn w:val="Normal"/>
    <w:qFormat/>
    <w:pPr>
      <w:keepNext w:val="true"/>
      <w:numPr>
        <w:ilvl w:val="0"/>
        <w:numId w:val="3"/>
      </w:numPr>
    </w:pPr>
    <w:rPr/>
  </w:style>
  <w:style w:type="paragraph" w:styleId="podNumberItemKeepWithNext">
    <w:name w:val="podNumberItemKeepWithNext"/>
    <w:basedOn w:val="Normal"/>
    <w:qFormat/>
    <w:pPr>
      <w:keepNext w:val="true"/>
      <w:numPr>
        <w:ilvl w:val="0"/>
        <w:numId w:val="2"/>
      </w:numPr>
    </w:pPr>
    <w:rPr/>
  </w:style>
  <w:style w:type="paragraph" w:styleId="Tablecell">
    <w:name w:val="Table cell"/>
    <w:basedOn w:val="Normal"/>
    <w:qFormat/>
    <w:pPr>
      <w:suppressLineNumbers/>
      <w:spacing w:before="0" w:after="0"/>
    </w:pPr>
    <w:rPr/>
  </w:style>
  <w:style w:type="paragraph" w:styleId="Tableheading">
    <w:name w:val="Table heading"/>
    <w:basedOn w:val="Tablecell"/>
    <w:qFormat/>
    <w:pPr/>
    <w:rPr>
      <w:b/>
      <w:bCs/>
    </w:rPr>
  </w:style>
  <w:style w:type="paragraph" w:styleId="podTablePara">
    <w:name w:val="podTablePara"/>
    <w:basedOn w:val="Tablecell"/>
    <w:qFormat/>
    <w:pPr/>
    <w:rPr>
      <w:b w:val="false"/>
      <w:bCs w:val="false"/>
      <w:sz w:val="16"/>
    </w:rPr>
  </w:style>
  <w:style w:type="paragraph" w:styleId="podTableParaBold">
    <w:name w:val="podTableParaBold"/>
    <w:basedOn w:val="Tablecell"/>
    <w:qFormat/>
    <w:pPr/>
    <w:rPr>
      <w:b/>
      <w:bCs/>
      <w:sz w:val="16"/>
    </w:rPr>
  </w:style>
  <w:style w:type="paragraph" w:styleId="podTableParaRight">
    <w:name w:val="podTableParaRight"/>
    <w:basedOn w:val="Tablecell"/>
    <w:qFormat/>
    <w:pPr>
      <w:jc w:val="right"/>
    </w:pPr>
    <w:rPr>
      <w:b w:val="false"/>
      <w:bCs w:val="false"/>
      <w:sz w:val="16"/>
    </w:rPr>
  </w:style>
  <w:style w:type="paragraph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NormalTable">
    <w:name w:val="Normal Table"/>
    <w:qFormat/>
    <w:pPr>
      <w:widowControl/>
      <w:kinsoku w:val="true"/>
      <w:overflowPunct w:val="true"/>
      <w:autoSpaceDE w:val="true"/>
      <w:bidi w:val="0"/>
      <w:spacing w:lineRule="auto" w:line="256" w:before="0" w:after="160"/>
      <w:jc w:val="left"/>
      <w:textAlignment w:val="auto"/>
    </w:pPr>
    <w:rPr>
      <w:rFonts w:ascii="Calibri" w:hAnsi="Calibri" w:eastAsia="Times New Roman" w:cs="Times New Roman"/>
      <w:color w:val="auto"/>
      <w:kern w:val="2"/>
      <w:sz w:val="22"/>
      <w:szCs w:val="22"/>
      <w:lang w:val="ru-RU" w:eastAsia="en-US" w:bidi="ar-SA"/>
    </w:rPr>
  </w:style>
  <w:style w:type="paragraph" w:styleId="Style9">
    <w:name w:val="Нормальный (таблица)"/>
    <w:basedOn w:val="Normal"/>
    <w:next w:val="Normal"/>
    <w:qFormat/>
    <w:pPr>
      <w:ind w:hanging="0" w:left="0" w:right="0"/>
    </w:pPr>
    <w:rPr/>
  </w:style>
  <w:style w:type="paragraph" w:styleId="Style10">
    <w:name w:val="Прижатый влево"/>
    <w:basedOn w:val="Normal"/>
    <w:next w:val="Normal"/>
    <w:qFormat/>
    <w:pPr>
      <w:ind w:hanging="0" w:left="0" w:right="0"/>
      <w:jc w:val="left"/>
    </w:pPr>
    <w:rPr/>
  </w:style>
  <w:style w:type="paragraph" w:styleId="TableHeading1">
    <w:name w:val="Table Heading1"/>
    <w:basedOn w:val="TableContents"/>
    <w:qFormat/>
    <w:pPr>
      <w:suppressLineNumbers/>
      <w:jc w:val="center"/>
    </w:pPr>
    <w:rPr>
      <w:b/>
      <w:bCs/>
    </w:rPr>
  </w:style>
  <w:style w:type="numbering" w:styleId="podNumberedList">
    <w:name w:val="podNumberedList"/>
    <w:qFormat/>
  </w:style>
  <w:style w:type="numbering" w:styleId="podBulletedList">
    <w:name w:val="podBulleted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8045</TotalTime>
  <Application>LibreOffice/24.2.7.2$Linux_X86_64 LibreOffice_project/420$Build-2</Application>
  <AppVersion>15.0000</AppVersion>
  <Pages>2</Pages>
  <Words>90</Words>
  <Characters>839</Characters>
  <CharactersWithSpaces>900</CharactersWithSpaces>
  <Paragraphs>31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2025-08-12T15:30:44Z</dcterms:created>
  <dc:creator/>
  <dc:description/>
  <dc:language>en-US</dc:language>
  <cp:lastModifiedBy/>
  <dcterms:modified xsi:type="dcterms:W3CDTF">2025-11-11T15:09:20Z</dcterms:modified>
  <cp:revision>25</cp:revision>
  <dc:subject/>
  <dc:title>20260811-163035.436158.11112025.result</dc:title>
</cp:coreProperties>
</file>